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F3250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1E67BFB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</w:rPr>
        <w:t>临沭县人民政府</w:t>
      </w:r>
    </w:p>
    <w:p w14:paraId="7C6226E9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</w:rPr>
        <w:t>关于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eastAsia="zh-CN"/>
        </w:rPr>
        <w:t>调整临沭县烟花爆竹禁限放区域的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</w:rPr>
        <w:t>通告</w:t>
      </w:r>
    </w:p>
    <w:p w14:paraId="6455EDD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leftChars="0" w:firstLine="0" w:firstLineChars="0"/>
        <w:jc w:val="center"/>
        <w:textAlignment w:val="auto"/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  <w:t>（征求意见稿）</w:t>
      </w:r>
    </w:p>
    <w:p w14:paraId="3D1A7415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32"/>
          <w:szCs w:val="32"/>
        </w:rPr>
      </w:pPr>
    </w:p>
    <w:p w14:paraId="5D5F78E5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为加强烟花爆竹安全管理，保障公共安全和公民人身、财产安全，降低火灾风险，减少大气和噪声污染，根据《山东省大气污染防治条例》《烟花爆竹安全管理条例》《临沂市烟花爆竹燃放管理条例》等法律法规，结合临沭实际，经研究决定，在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全县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范围内实行烟花爆竹禁限放措施。现通告如下：</w:t>
      </w:r>
    </w:p>
    <w:p w14:paraId="7DAEEF0F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</w:rPr>
        <w:t>一、禁限放区域</w:t>
      </w:r>
      <w:r>
        <w:rPr>
          <w:rFonts w:hint="eastAsia" w:ascii="Times New Roman" w:hAnsi="Times New Roman" w:eastAsia="黑体" w:cs="Times New Roman"/>
          <w:color w:val="000000"/>
          <w:kern w:val="0"/>
          <w:sz w:val="32"/>
          <w:szCs w:val="32"/>
          <w:lang w:eastAsia="zh-CN"/>
        </w:rPr>
        <w:t>和时段</w:t>
      </w:r>
    </w:p>
    <w:p w14:paraId="5B5B057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（一）全年禁止燃放区域</w:t>
      </w:r>
    </w:p>
    <w:p w14:paraId="2951268B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1.西至沭河，北至白旄街，东至青云镇、临沭街道与玉山镇、蛟龙镇边界线—327国道—文化路，南至蛟龙镇、临沭街道、郑山街道与大兴镇、店头镇边界线形成的闭合区域；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.</w:t>
      </w:r>
    </w:p>
    <w:p w14:paraId="548A7096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2.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文物保护单位、机关办公区域、医疗机构、教育机构、养老机构、公共文化场所、宗教活动场所；</w:t>
      </w:r>
    </w:p>
    <w:p w14:paraId="65C3AD92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3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.车站、码头等交通枢纽以及铁路线路安全保护区内；</w:t>
      </w:r>
    </w:p>
    <w:p w14:paraId="0D3A08E6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4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.高架路、过街天桥、立交桥、隧道、地下空间；</w:t>
      </w:r>
    </w:p>
    <w:p w14:paraId="41A9282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5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.易燃易爆物品生产、经营、储存单位；</w:t>
      </w:r>
    </w:p>
    <w:p w14:paraId="35594E8B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6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.输变电、燃气、燃油、通讯等设施安全保护区内；</w:t>
      </w:r>
    </w:p>
    <w:p w14:paraId="33BEA76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7.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山林、景区、湿地、烈士陵园等重点防火区；</w:t>
      </w:r>
    </w:p>
    <w:p w14:paraId="67C31EA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8.其它危害公共安全不宜燃放烟花爆竹的区域。</w:t>
      </w:r>
    </w:p>
    <w:p w14:paraId="4BB6F0C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（二）限制燃放区域和时段</w:t>
      </w:r>
    </w:p>
    <w:p w14:paraId="639B2D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上述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禁止燃放区域以外的其他区域为限制燃放区域，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限放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区域内农历除夕、正月初一、正月十五全天允许燃放烟花爆竹，其他时间禁止燃放。</w:t>
      </w:r>
    </w:p>
    <w:p w14:paraId="65739235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（三）在重污染天气预警期间，本县行政区域内全面禁止燃放烟花爆竹。</w:t>
      </w:r>
    </w:p>
    <w:p w14:paraId="3CD9549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outlineLvl w:val="1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（四）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全县范围内禁止生产、制作烟花爆竹；在禁止燃放烟花爆竹的区域和场所内，不得销售烟花爆竹。</w:t>
      </w:r>
    </w:p>
    <w:p w14:paraId="632A546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五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重大节庆活动需要举办焰火晚会或者其他大型烟火燃放活动的，按照国家有关规定执行。</w:t>
      </w:r>
    </w:p>
    <w:p w14:paraId="1D8BC8B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</w:rPr>
        <w:t>二、</w:t>
      </w:r>
      <w:r>
        <w:rPr>
          <w:rFonts w:hint="eastAsia" w:ascii="Times New Roman" w:hAnsi="Times New Roman" w:eastAsia="黑体" w:cs="Times New Roman"/>
          <w:color w:val="000000"/>
          <w:kern w:val="0"/>
          <w:sz w:val="32"/>
          <w:szCs w:val="32"/>
          <w:lang w:eastAsia="zh-CN"/>
        </w:rPr>
        <w:t>有关要求</w:t>
      </w:r>
    </w:p>
    <w:p w14:paraId="7B3B7FD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（一）职责分工</w:t>
      </w:r>
    </w:p>
    <w:p w14:paraId="7CC56FA8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全县各级各部门要积极组织开展烟花爆竹禁限放的宣传，在重大节日期间加大宣传工作力度。各党政机关企事业单位要发挥模范带头作用，严格落实禁限放要求。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公安部门负责查处非法燃放烟花爆竹的行为；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综合执法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部门负责依法查处燃放烟花爆竹污染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路面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的违法行为；住建部门负责指导督促各物业公司强化小区管理，配合落实好禁限放措施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。</w:t>
      </w:r>
    </w:p>
    <w:p w14:paraId="2A8114E1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二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vertAlign w:val="baseline"/>
          <w:lang w:val="en-US" w:eastAsia="zh-CN" w:bidi="ar-SA"/>
        </w:rPr>
        <w:t>限放</w:t>
      </w:r>
      <w:r>
        <w:rPr>
          <w:rFonts w:hint="eastAsia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vertAlign w:val="baseline"/>
          <w:lang w:val="en-US" w:eastAsia="zh-CN" w:bidi="ar-SA"/>
        </w:rPr>
        <w:t>区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000000"/>
          <w:kern w:val="0"/>
          <w:sz w:val="32"/>
          <w:szCs w:val="32"/>
          <w:highlight w:val="none"/>
          <w:vertAlign w:val="baseline"/>
          <w:lang w:val="en-US" w:eastAsia="zh-CN" w:bidi="ar-SA"/>
        </w:rPr>
        <w:t>要求</w:t>
      </w:r>
    </w:p>
    <w:p w14:paraId="4128077B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在允许燃放烟花爆竹的区域、时间内，燃放烟花爆竹应当遵守下列规定：1.不得向人群、车辆、建筑物、地下管网、公共绿地抛掷；2.不得从建筑物屋顶、阳台、窗户等向公共场所抛掷；3.不得妨碍行人、车辆安全通行；4.不得采取其他危害公共安全和人身财产安全的方式燃放烟花爆竹；5.燃放烟花爆竹后应当及时妥善处理燃放残留物。</w:t>
      </w:r>
    </w:p>
    <w:p w14:paraId="45202E95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</w:rPr>
        <w:t>三、法律责任</w:t>
      </w:r>
    </w:p>
    <w:p w14:paraId="20EC0311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在禁止燃放烟花爆竹的时间、地点燃放烟花爆竹，或者以危害公共安全和人身、财产安全的方式燃放烟花爆竹的，依据《烟花爆竹安全管理条例》第四十二条之规定，由公安机关责令停止燃放，处100元以上500元以下的罚款；构成违反治安管理行为的，依法给予治安管理处罚；构成犯罪的，依法追究刑事责任。</w:t>
      </w:r>
    </w:p>
    <w:p w14:paraId="2A3A4C38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/>
        </w:rPr>
      </w:pPr>
      <w:r>
        <w:rPr>
          <w:rFonts w:hint="eastAsia" w:ascii="Times New Roman" w:hAnsi="Times New Roman" w:eastAsia="黑体" w:cs="Times New Roman"/>
          <w:color w:val="000000"/>
          <w:kern w:val="0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val="en-US"/>
        </w:rPr>
        <w:t>、</w:t>
      </w:r>
      <w:r>
        <w:rPr>
          <w:rFonts w:hint="eastAsia" w:ascii="Times New Roman" w:hAnsi="Times New Roman" w:eastAsia="黑体" w:cs="Times New Roman"/>
          <w:color w:val="000000"/>
          <w:kern w:val="0"/>
          <w:sz w:val="32"/>
          <w:szCs w:val="32"/>
          <w:lang w:val="en-US" w:eastAsia="zh-CN"/>
        </w:rPr>
        <w:t>实施安排</w:t>
      </w:r>
    </w:p>
    <w:p w14:paraId="70C1D878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本通告自发布之日起实施，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原2023年12月29日发布</w:t>
      </w:r>
      <w:bookmarkStart w:id="1" w:name="_GoBack"/>
      <w:bookmarkEnd w:id="1"/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的《临沭县人民政府关于烟花爆竹燃放管理的通告》同时废止。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/>
        </w:rPr>
        <w:t>2026年10月1日前为过渡期。过渡期内以教育劝阻为主，在特殊场所、时段燃放及影响公共、他人生命财产安全的，由公安机关依法处罚。</w:t>
      </w:r>
    </w:p>
    <w:p w14:paraId="48F2FCF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欢迎广大人民群众自觉抵制和举报违法销售、燃放烟花爆竹的行为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。举报电话：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110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12345</w:t>
      </w:r>
      <w:bookmarkStart w:id="0" w:name="OLE_LINK2"/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。</w:t>
      </w:r>
    </w:p>
    <w:bookmarkEnd w:id="0"/>
    <w:p w14:paraId="7DC07B5D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32"/>
          <w:szCs w:val="32"/>
        </w:rPr>
      </w:pPr>
    </w:p>
    <w:p w14:paraId="1DC10B88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5440" w:firstLineChars="17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</w:p>
    <w:p w14:paraId="26819A08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5440" w:firstLineChars="17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临沭县人民政府</w:t>
      </w:r>
    </w:p>
    <w:p w14:paraId="09576F9B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5440" w:firstLineChars="1700"/>
        <w:textAlignment w:val="auto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sectPr>
          <w:footerReference r:id="rId3" w:type="default"/>
          <w:pgSz w:w="11906" w:h="16838"/>
          <w:pgMar w:top="2098" w:right="1531" w:bottom="1984" w:left="1531" w:header="851" w:footer="992" w:gutter="0"/>
          <w:pgNumType w:fmt="numberInDash"/>
          <w:cols w:space="0" w:num="1"/>
          <w:docGrid w:type="linesAndChars" w:linePitch="312" w:charSpace="0"/>
        </w:sect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日</w:t>
      </w:r>
    </w:p>
    <w:p w14:paraId="150E4B76">
      <w:pPr>
        <w:pStyle w:val="2"/>
        <w:ind w:left="0" w:leftChars="0" w:firstLine="0" w:firstLineChars="0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-135255</wp:posOffset>
            </wp:positionH>
            <wp:positionV relativeFrom="paragraph">
              <wp:posOffset>57150</wp:posOffset>
            </wp:positionV>
            <wp:extent cx="5910580" cy="7800340"/>
            <wp:effectExtent l="0" t="0" r="13970" b="10160"/>
            <wp:wrapThrough wrapText="bothSides">
              <wp:wrapPolygon>
                <wp:start x="0" y="0"/>
                <wp:lineTo x="0" y="21523"/>
                <wp:lineTo x="21512" y="21523"/>
                <wp:lineTo x="21512" y="0"/>
                <wp:lineTo x="0" y="0"/>
              </wp:wrapPolygon>
            </wp:wrapThrough>
            <wp:docPr id="1026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10580" cy="780034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2098" w:right="1531" w:bottom="1984" w:left="1531" w:header="851" w:footer="992" w:gutter="0"/>
      <w:pgNumType w:fmt="numberInDash"/>
      <w:cols w:space="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000020204"/>
    <w:charset w:val="86"/>
    <w:family w:val="swiss"/>
    <w:pitch w:val="default"/>
    <w:sig w:usb0="00000000" w:usb1="00000000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文星楷体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DD1F06">
    <w:pPr>
      <w:pStyle w:val="8"/>
      <w:jc w:val="center"/>
      <w:rPr>
        <w:rFonts w:ascii="Times New Roman" w:hAnsi="Times New Roman" w:cs="Times New Roman"/>
        <w:sz w:val="24"/>
        <w:szCs w:val="24"/>
      </w:rPr>
    </w:pPr>
    <w:r>
      <w:rPr>
        <w:sz w:val="24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posOffset>5170170</wp:posOffset>
              </wp:positionH>
              <wp:positionV relativeFrom="paragraph">
                <wp:posOffset>-198120</wp:posOffset>
              </wp:positionV>
              <wp:extent cx="1828800" cy="314325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798" cy="31432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19F84B25">
                          <w:pPr>
                            <w:pStyle w:val="8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文星楷体" w:hAnsi="文星楷体" w:eastAsia="文星楷体" w:cs="文星楷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文星楷体" w:hAnsi="文星楷体" w:eastAsia="文星楷体" w:cs="文星楷体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hint="eastAsia" w:ascii="文星楷体" w:hAnsi="文星楷体" w:eastAsia="文星楷体" w:cs="文星楷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文星楷体" w:hAnsi="文星楷体" w:eastAsia="文星楷体" w:cs="文星楷体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ascii="文星楷体" w:hAnsi="文星楷体" w:eastAsia="文星楷体" w:cs="文星楷体"/>
                              <w:sz w:val="28"/>
                              <w:szCs w:val="28"/>
                            </w:rPr>
                            <w:t xml:space="preserve"> 3 -</w:t>
                          </w:r>
                          <w:r>
                            <w:rPr>
                              <w:rFonts w:hint="eastAsia" w:ascii="文星楷体" w:hAnsi="文星楷体" w:eastAsia="文星楷体" w:cs="文星楷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  <w:p w14:paraId="1CFDF31F">
                          <w:pPr>
                            <w:pStyle w:val="3"/>
                          </w:pPr>
                        </w:p>
                      </w:txbxContent>
                    </wps:txbx>
                    <wps:bodyPr wrap="none" lIns="0" tIns="0" rIns="0" bIns="0" upright="0"/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left:407.1pt;margin-top:-15.6pt;height:24.75pt;width:144pt;mso-position-horizontal-relative:margin;mso-wrap-style:none;z-index:251659264;mso-width-relative:page;mso-height-relative:page;" filled="f" stroked="f" coordsize="21600,21600" o:gfxdata="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Kv1BS/YAAAACwEAAA8AAAAAAAAAAQAgAAAAIgAAAGRycy9kb3ducmV2LnhtbFBL&#10;AQIUABQAAAAIAIdO4kBKnSrXvQEAAGwDAAAOAAAAAAAAAAEAIAAAACc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9F84B25">
                    <w:pPr>
                      <w:pStyle w:val="8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eastAsia" w:ascii="文星楷体" w:hAnsi="文星楷体" w:eastAsia="文星楷体" w:cs="文星楷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文星楷体" w:hAnsi="文星楷体" w:eastAsia="文星楷体" w:cs="文星楷体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hint="eastAsia" w:ascii="文星楷体" w:hAnsi="文星楷体" w:eastAsia="文星楷体" w:cs="文星楷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文星楷体" w:hAnsi="文星楷体" w:eastAsia="文星楷体" w:cs="文星楷体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ascii="文星楷体" w:hAnsi="文星楷体" w:eastAsia="文星楷体" w:cs="文星楷体"/>
                        <w:sz w:val="28"/>
                        <w:szCs w:val="28"/>
                      </w:rPr>
                      <w:t xml:space="preserve"> 3 -</w:t>
                    </w:r>
                    <w:r>
                      <w:rPr>
                        <w:rFonts w:hint="eastAsia" w:ascii="文星楷体" w:hAnsi="文星楷体" w:eastAsia="文星楷体" w:cs="文星楷体"/>
                        <w:sz w:val="28"/>
                        <w:szCs w:val="28"/>
                      </w:rPr>
                      <w:fldChar w:fldCharType="end"/>
                    </w:r>
                  </w:p>
                  <w:p w14:paraId="1CFDF31F">
                    <w:pPr>
                      <w:pStyle w:val="3"/>
                    </w:pPr>
                  </w:p>
                </w:txbxContent>
              </v:textbox>
            </v:rect>
          </w:pict>
        </mc:Fallback>
      </mc:AlternateContent>
    </w:r>
  </w:p>
  <w:p w14:paraId="44DBC5BA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3Mzk3MjE3ZjY0OWRiMDIwOWVjZDExNDg5YzgzYTYifQ=="/>
  </w:docVars>
  <w:rsids>
    <w:rsidRoot w:val="00000000"/>
    <w:rsid w:val="02F46090"/>
    <w:rsid w:val="0B2226D0"/>
    <w:rsid w:val="11E66FCE"/>
    <w:rsid w:val="128A4CF3"/>
    <w:rsid w:val="141968AE"/>
    <w:rsid w:val="17976A63"/>
    <w:rsid w:val="201C2ED4"/>
    <w:rsid w:val="5A494B51"/>
    <w:rsid w:val="70F93638"/>
    <w:rsid w:val="75602234"/>
    <w:rsid w:val="773D2556"/>
    <w:rsid w:val="7991581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link w:val="17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qFormat/>
    <w:uiPriority w:val="1"/>
  </w:style>
  <w:style w:type="table" w:default="1" w:styleId="12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左侧:  2 字符 + 左侧:  0.85 厘米 首行缩进:  2 字符1"/>
    <w:basedOn w:val="1"/>
    <w:qFormat/>
    <w:uiPriority w:val="0"/>
    <w:pPr>
      <w:ind w:left="482" w:firstLine="200" w:firstLineChars="200"/>
    </w:pPr>
    <w:rPr>
      <w:rFonts w:cs="宋体"/>
      <w:szCs w:val="20"/>
    </w:rPr>
  </w:style>
  <w:style w:type="paragraph" w:styleId="4">
    <w:name w:val="Body Text"/>
    <w:basedOn w:val="1"/>
    <w:qFormat/>
    <w:uiPriority w:val="1"/>
    <w:rPr>
      <w:rFonts w:ascii="Arial Unicode MS" w:hAnsi="Arial Unicode MS" w:eastAsia="Arial Unicode MS" w:cs="Arial Unicode MS"/>
      <w:sz w:val="32"/>
      <w:szCs w:val="32"/>
      <w:lang w:val="zh-CN" w:eastAsia="zh-CN" w:bidi="zh-CN"/>
    </w:rPr>
  </w:style>
  <w:style w:type="paragraph" w:styleId="5">
    <w:name w:val="Body Text Indent"/>
    <w:basedOn w:val="1"/>
    <w:next w:val="6"/>
    <w:qFormat/>
    <w:uiPriority w:val="0"/>
    <w:pPr>
      <w:ind w:firstLine="435"/>
    </w:pPr>
    <w:rPr>
      <w:rFonts w:ascii="宋体" w:hAnsi="宋体"/>
      <w:bCs/>
      <w:u w:val="wave"/>
    </w:rPr>
  </w:style>
  <w:style w:type="paragraph" w:customStyle="1" w:styleId="6">
    <w:name w:val="样式 正文文本缩进 + 行距: 1.5 倍行距"/>
    <w:basedOn w:val="5"/>
    <w:next w:val="1"/>
    <w:qFormat/>
    <w:uiPriority w:val="0"/>
    <w:pPr>
      <w:spacing w:after="120"/>
      <w:ind w:left="90" w:leftChars="32" w:firstLine="560" w:firstLineChars="200"/>
    </w:pPr>
    <w:rPr>
      <w:rFonts w:cs="宋体"/>
      <w:sz w:val="24"/>
    </w:rPr>
  </w:style>
  <w:style w:type="paragraph" w:styleId="7">
    <w:name w:val="Balloon Text"/>
    <w:basedOn w:val="1"/>
    <w:link w:val="20"/>
    <w:qFormat/>
    <w:uiPriority w:val="99"/>
    <w:rPr>
      <w:sz w:val="18"/>
      <w:szCs w:val="18"/>
    </w:rPr>
  </w:style>
  <w:style w:type="paragraph" w:styleId="8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styleId="11">
    <w:name w:val="Body Text First Indent 2"/>
    <w:basedOn w:val="5"/>
    <w:next w:val="1"/>
    <w:qFormat/>
    <w:uiPriority w:val="0"/>
    <w:pPr>
      <w:spacing w:after="120"/>
      <w:ind w:left="420" w:leftChars="200" w:firstLine="420" w:firstLineChars="200"/>
    </w:pPr>
  </w:style>
  <w:style w:type="character" w:styleId="14">
    <w:name w:val="Strong"/>
    <w:basedOn w:val="13"/>
    <w:qFormat/>
    <w:uiPriority w:val="22"/>
    <w:rPr>
      <w:b/>
    </w:rPr>
  </w:style>
  <w:style w:type="character" w:styleId="15">
    <w:name w:val="FollowedHyperlink"/>
    <w:basedOn w:val="13"/>
    <w:qFormat/>
    <w:uiPriority w:val="99"/>
    <w:rPr>
      <w:color w:val="000000"/>
      <w:u w:val="none"/>
    </w:rPr>
  </w:style>
  <w:style w:type="character" w:styleId="16">
    <w:name w:val="Hyperlink"/>
    <w:basedOn w:val="13"/>
    <w:qFormat/>
    <w:uiPriority w:val="99"/>
    <w:rPr>
      <w:color w:val="0000FF"/>
      <w:u w:val="single"/>
    </w:rPr>
  </w:style>
  <w:style w:type="character" w:customStyle="1" w:styleId="17">
    <w:name w:val="标题 3 Char"/>
    <w:basedOn w:val="13"/>
    <w:link w:val="3"/>
    <w:qFormat/>
    <w:uiPriority w:val="9"/>
    <w:rPr>
      <w:b/>
      <w:bCs/>
      <w:sz w:val="32"/>
      <w:szCs w:val="32"/>
    </w:rPr>
  </w:style>
  <w:style w:type="character" w:customStyle="1" w:styleId="18">
    <w:name w:val="页眉 Char"/>
    <w:basedOn w:val="13"/>
    <w:link w:val="9"/>
    <w:qFormat/>
    <w:uiPriority w:val="99"/>
    <w:rPr>
      <w:sz w:val="18"/>
      <w:szCs w:val="18"/>
    </w:rPr>
  </w:style>
  <w:style w:type="character" w:customStyle="1" w:styleId="19">
    <w:name w:val="页脚 Char"/>
    <w:basedOn w:val="13"/>
    <w:link w:val="8"/>
    <w:qFormat/>
    <w:uiPriority w:val="99"/>
    <w:rPr>
      <w:sz w:val="18"/>
      <w:szCs w:val="18"/>
    </w:rPr>
  </w:style>
  <w:style w:type="character" w:customStyle="1" w:styleId="20">
    <w:name w:val="批注框文本 Char"/>
    <w:basedOn w:val="13"/>
    <w:link w:val="7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D0BAF15-A14C-45E1-A8BB-C30F862435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Micorosoft</Company>
  <Pages>4</Pages>
  <Words>1259</Words>
  <Characters>1297</Characters>
  <Paragraphs>77</Paragraphs>
  <TotalTime>34</TotalTime>
  <ScaleCrop>false</ScaleCrop>
  <LinksUpToDate>false</LinksUpToDate>
  <CharactersWithSpaces>1297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2020-11-15T01:09:00Z</dcterms:created>
  <dc:creator>Micorosoft</dc:creator>
  <cp:lastModifiedBy> w</cp:lastModifiedBy>
  <cp:lastPrinted>2020-04-07T03:02:00Z</cp:lastPrinted>
  <dcterms:modified xsi:type="dcterms:W3CDTF">2026-06-03T03:45:07Z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SaveFontToCloudKey">
    <vt:lpwstr>577542315_cloud</vt:lpwstr>
  </property>
  <property fmtid="{D5CDD505-2E9C-101B-9397-08002B2CF9AE}" pid="4" name="ICV">
    <vt:lpwstr>6167AB59235045148764CDE7AE422972</vt:lpwstr>
  </property>
  <property fmtid="{D5CDD505-2E9C-101B-9397-08002B2CF9AE}" pid="5" name="KSOTemplateDocerSaveRecord">
    <vt:lpwstr>eyJoZGlkIjoiNjI0MmZlYmU2YTA5MGZjOTg5NTE4YTJjNTczMTk3NDUiLCJ1c2VySWQiOiIxMjA2NzgwNDkwIn0=</vt:lpwstr>
  </property>
</Properties>
</file>